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</w:t>
      </w:r>
      <w:r>
        <w:rPr>
          <w:rFonts w:ascii="Times New Roman" w:hAnsi="Times New Roman" w:cs="Times New Roman"/>
          <w:b/>
          <w:sz w:val="24"/>
          <w:szCs w:val="24"/>
        </w:rPr>
        <w:t xml:space="preserve">ий 6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1032"/>
        <w:gridCol w:w="1250"/>
        <w:gridCol w:w="1715"/>
        <w:gridCol w:w="2212"/>
        <w:gridCol w:w="4399"/>
        <w:gridCol w:w="1984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Ресурс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r>
              <w:t xml:space="preserve">Английский язык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Взаимоотношения в семье и с друзьями (мой дом, квартира)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учебник стр. 15-18 упр. 2 - устно -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тчитать вслух и перевести, упр. 3 - устно – прочитать вслух, перевести и пересказать, используя схему в 4 упр., а также доп. информацию на стр.12 (упр. 6), прочитать правило и устно выполнить упр. 5, 6, прочитать второе правило и письменно выполнить упр.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Задание на 16.09 -</w:t>
            </w:r>
            <w:hyperlink r:id="rId9" w:tooltip="Изменить тему домашнего задания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стр. 14 упр. 8-9 письменно, 10 - устно, стр. 15 упр. 2 - устно - отчитать и перевести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Задание на 17.09 - стр. 17, 18 рамочки с правилом читать, упр. 8-10 на стр. 18, 19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мальчики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Актуальные и перспективные технологии обработки материалов.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715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девочки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графической грамоты.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Сборочные чертежи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П.2, практическая работа в АСУ РСО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Словосочетание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28 упр. 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за курс 5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Представление данных с помощью таблиц и диаграмм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–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с.30 № 1.124, 1.127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19.10-19.40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Здоровое питание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22</cp:revision>
  <dcterms:created xsi:type="dcterms:W3CDTF">2025-02-24T05:50:00Z</dcterms:created>
  <dcterms:modified xsi:type="dcterms:W3CDTF">2025-09-15T13:32:16Z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