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15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44"/>
        <w:gridCol w:w="524"/>
        <w:gridCol w:w="1202"/>
        <w:gridCol w:w="1882"/>
        <w:gridCol w:w="1974"/>
        <w:gridCol w:w="2200"/>
        <w:gridCol w:w="5006"/>
        <w:gridCol w:w="38"/>
        <w:gridCol w:w="1987"/>
      </w:tblGrid>
      <w:tr>
        <w:trPr>
          <w:trHeight w:val="566"/>
        </w:trPr>
        <w:tc>
          <w:tcPr>
            <w:gridSpan w:val="9"/>
            <w:tcW w:w="15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занятий для 4 «В» класса</w:t>
            </w:r>
            <w:r>
              <w:rPr>
                <w:rFonts w:ascii="Times New Roman" w:hAnsi="Times New Roman" w:cs="Times New Roman"/>
                <w:szCs w:val="28"/>
              </w:rPr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74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Среда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11.01.2023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52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2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2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gridSpan w:val="2"/>
            <w:tcW w:w="50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74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8.30-9.00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Физическая культура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Шевчун В.Н.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22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техникой передвижения на лыжах.</w:t>
            </w:r>
            <w:r/>
          </w:p>
        </w:tc>
        <w:tc>
          <w:tcPr>
            <w:gridSpan w:val="2"/>
            <w:tcW w:w="504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нажимаете кнопочку в электронном дневнике у нужного урока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работа с учебником « Физическая культура 1-4 класс В.И.Лях стр.143-151.»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Прыжки в длину с места.</w:t>
            </w:r>
            <w:r/>
          </w:p>
        </w:tc>
      </w:tr>
      <w:tr>
        <w:trPr>
          <w:jc w:val="center"/>
        </w:trPr>
        <w:tc>
          <w:tcPr>
            <w:tcW w:w="74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gridSpan w:val="8"/>
            <w:tcW w:w="148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онлайн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подключения класса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74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9.20-9.50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Фокина А.В.</w:t>
            </w:r>
            <w:r/>
          </w:p>
        </w:tc>
        <w:tc>
          <w:tcPr>
            <w:tcW w:w="22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Сочинение сказки на заданную тему. 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</w:p>
        </w:tc>
        <w:tc>
          <w:tcPr>
            <w:gridSpan w:val="2"/>
            <w:tcW w:w="504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нажимаете кнопочку в электронном дневнике у нужного урока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учебник стр 142 упр 275 устно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Стр 142 упр 275 письменно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jc w:val="center"/>
        </w:trPr>
        <w:tc>
          <w:tcPr>
            <w:tcW w:w="74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10.10-10.40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Математика 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Фокина А.В.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22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Скорость. Единицы скорости. Взаимосвязь между скоростью, временем и расстоянием. 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00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нажимаете кнопочку в электронном дневнике у нужного урока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стр 94 № 34, 35, 36 письменно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</w:tc>
        <w:tc>
          <w:tcPr>
            <w:gridSpan w:val="2"/>
            <w:tcW w:w="20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Стр 94 № 37, 38, 39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jc w:val="center"/>
        </w:trPr>
        <w:tc>
          <w:tcPr>
            <w:tcW w:w="74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gridSpan w:val="8"/>
            <w:tcW w:w="148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онлайн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подключения класса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74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11.20-11.50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Окружающий мир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Фокина А.В.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200" w:type="dxa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Как образовалось государство Русь?</w:t>
            </w:r>
            <w:r/>
            <w:r/>
          </w:p>
        </w:tc>
        <w:tc>
          <w:tcPr>
            <w:gridSpan w:val="2"/>
            <w:tcW w:w="504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нажимаете кнопочку в электронном дневнике у нужного урока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ind w:left="0" w:right="0" w:firstLine="0"/>
              <w:spacing w:before="0" w:after="160" w:line="235" w:lineRule="atLeast"/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В случае отсутствия связи: у</w:t>
            </w:r>
            <w:r/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чебник стр 34-39 читать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  <w:r>
              <w:rPr>
                <w:sz w:val="22"/>
              </w:rPr>
            </w:r>
          </w:p>
          <w:p>
            <w:pPr>
              <w:ind w:left="0" w:right="0" w:firstLine="0"/>
              <w:spacing w:before="0" w:after="160" w:line="235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highlight w:val="none"/>
              </w:rPr>
            </w:r>
            <w:hyperlink r:id="rId8" w:tooltip="https://resh.edu.ru/subject/lesson/6003/main/" w:history="1">
              <w:r>
                <w:rPr>
                  <w:rStyle w:val="793"/>
                  <w:rFonts w:ascii="Times New Roman" w:hAnsi="Times New Roman" w:eastAsia="Times New Roman" w:cs="Times New Roman"/>
                  <w:color w:val="0563c1"/>
                  <w:sz w:val="24"/>
                  <w:u w:val="none"/>
                </w:rPr>
                <w:t xml:space="preserve">https://resh.edu.ru/subject/lesson/6003/main/</w:t>
              </w:r>
            </w:hyperlink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highlight w:val="none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Стр 34-39 пересказ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74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2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12.10-12.40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Фокина А.В.</w:t>
            </w:r>
            <w:r/>
          </w:p>
        </w:tc>
        <w:tc>
          <w:tcPr>
            <w:tcW w:w="22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Басни Л.Н. Толстого Л.Н. Толстой « Мужик и Водяной»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2"/>
            <w:tcW w:w="504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нажимаете кнопочку в электронном дневнике у нужного урока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учебник стр 38-41 выразительно читать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Стр 38-41 выразительно читать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</w:tr>
    </w:tbl>
    <w:p>
      <w:r/>
      <w:r/>
    </w:p>
    <w:p>
      <w:r/>
      <w:r/>
    </w:p>
    <w:tbl>
      <w:tblPr>
        <w:tblStyle w:val="815"/>
        <w:tblW w:w="15559" w:type="dxa"/>
        <w:jc w:val="center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673"/>
        <w:gridCol w:w="2669"/>
        <w:gridCol w:w="1816"/>
        <w:gridCol w:w="2602"/>
      </w:tblGrid>
      <w:tr>
        <w:trPr>
          <w:trHeight w:val="566"/>
        </w:trPr>
        <w:tc>
          <w:tcPr>
            <w:gridSpan w:val="8"/>
            <w:tcW w:w="15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внеурочной деятельности для 4 «В» класса</w:t>
            </w:r>
            <w:r>
              <w:rPr>
                <w:rFonts w:ascii="Times New Roman" w:hAnsi="Times New Roman" w:cs="Times New Roman"/>
                <w:szCs w:val="28"/>
              </w:rPr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ind w:left="113" w:right="113"/>
              <w:jc w:val="left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Среда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11.01.2023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13.00-13.30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highlight w:val="none"/>
              </w:rPr>
              <w:t xml:space="preserve">Азбука здоровья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Фокина А.В.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Волевое поведение.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нажимаете кнопочку в электронном дневнике у нужного урока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hyperlink r:id="rId9" w:tooltip="https://nsportal.ru/nachalnaya-shkola/psikhologiya/2020/11/24/prezentatsiya-razvitie-vnimaniya" w:history="1"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https://nsportal.ru/nachalnaya-shkola/psikhologiya/2020/11/24/prezentatsiya-razvitie-vnimaniya</w:t>
              </w:r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задано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</w:tr>
    </w:tbl>
    <w:p>
      <w:r/>
      <w:r/>
    </w:p>
    <w:p>
      <w:r/>
      <w:r/>
    </w:p>
    <w:sectPr>
      <w:footnotePr/>
      <w:endnotePr/>
      <w:type w:val="nextPage"/>
      <w:pgSz w:w="16838" w:h="11906" w:orient="landscape"/>
      <w:pgMar w:top="284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esh.edu.ru/subject/lesson/6003/main/" TargetMode="External"/><Relationship Id="rId9" Type="http://schemas.openxmlformats.org/officeDocument/2006/relationships/hyperlink" Target="https://nsportal.ru/nachalnaya-shkola/psikhologiya/2020/11/24/prezentatsiya-razvitie-vnimaniy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Анна Фокина</cp:lastModifiedBy>
  <cp:revision>8</cp:revision>
  <dcterms:created xsi:type="dcterms:W3CDTF">2023-01-08T08:56:00Z</dcterms:created>
  <dcterms:modified xsi:type="dcterms:W3CDTF">2023-01-10T08:55:35Z</dcterms:modified>
</cp:coreProperties>
</file>