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0548C" w:rsidTr="0030548C">
        <w:tc>
          <w:tcPr>
            <w:tcW w:w="4785" w:type="dxa"/>
            <w:hideMark/>
          </w:tcPr>
          <w:p w:rsidR="0030548C" w:rsidRDefault="0030548C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Рассмотрено на заседании МО учителей эстетического цикла</w:t>
            </w:r>
          </w:p>
          <w:p w:rsidR="0030548C" w:rsidRDefault="0030548C" w:rsidP="0030548C">
            <w:pPr>
              <w:spacing w:after="160" w:line="254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протокол от 30.08.2019 г. №1</w:t>
            </w:r>
          </w:p>
        </w:tc>
        <w:tc>
          <w:tcPr>
            <w:tcW w:w="4786" w:type="dxa"/>
            <w:hideMark/>
          </w:tcPr>
          <w:p w:rsidR="0030548C" w:rsidRDefault="0030548C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>. Большая Глушица</w:t>
            </w:r>
          </w:p>
          <w:p w:rsidR="0030548C" w:rsidRDefault="0030548C">
            <w:pPr>
              <w:spacing w:after="160" w:line="254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от 10.09.2019 г. №453/1</w:t>
            </w:r>
          </w:p>
        </w:tc>
      </w:tr>
    </w:tbl>
    <w:p w:rsidR="0030548C" w:rsidRDefault="0030548C" w:rsidP="0030548C">
      <w:pPr>
        <w:spacing w:after="150"/>
        <w:jc w:val="center"/>
        <w:rPr>
          <w:rFonts w:cs="Times New Roman"/>
          <w:b/>
          <w:bCs/>
          <w:color w:val="000000"/>
          <w:sz w:val="21"/>
          <w:szCs w:val="21"/>
          <w:lang w:eastAsia="ru-RU"/>
        </w:rPr>
      </w:pPr>
    </w:p>
    <w:p w:rsidR="0030548C" w:rsidRDefault="0030548C" w:rsidP="00A42E32">
      <w:pPr>
        <w:ind w:firstLine="540"/>
        <w:jc w:val="center"/>
        <w:rPr>
          <w:rFonts w:cs="Times New Roman"/>
          <w:b/>
        </w:rPr>
      </w:pPr>
    </w:p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оценивания творческих проектов</w:t>
      </w:r>
      <w:r w:rsidR="00F02B94">
        <w:rPr>
          <w:rFonts w:cs="Times New Roman"/>
          <w:b/>
        </w:rPr>
        <w:t xml:space="preserve"> по предмету «Технология» для учащихся 5-х классов ГБОУ СОШ №2 «ОЦ» </w:t>
      </w:r>
      <w:proofErr w:type="gramStart"/>
      <w:r w:rsidR="00F02B94">
        <w:rPr>
          <w:rFonts w:cs="Times New Roman"/>
          <w:b/>
        </w:rPr>
        <w:t>с</w:t>
      </w:r>
      <w:proofErr w:type="gramEnd"/>
      <w:r w:rsidR="00F02B94">
        <w:rPr>
          <w:rFonts w:cs="Times New Roman"/>
          <w:b/>
        </w:rPr>
        <w:t>. Большая Глушица</w:t>
      </w:r>
      <w:r w:rsidR="0030548C">
        <w:rPr>
          <w:rFonts w:cs="Times New Roman"/>
          <w:b/>
        </w:rPr>
        <w:t xml:space="preserve"> (промежуточная аттестация)</w:t>
      </w:r>
    </w:p>
    <w:p w:rsidR="00A42E32" w:rsidRPr="00292D46" w:rsidRDefault="00F02B94" w:rsidP="00A42E32">
      <w:pPr>
        <w:ind w:firstLine="54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</w:p>
    <w:p w:rsidR="00A42E32" w:rsidRPr="00292D46" w:rsidRDefault="00A42E32" w:rsidP="00F02B94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На защиту учебных творческих проектов – каждый участник представляет выполненное изделие, пояснительную записку, готовит презентацию проекта. </w:t>
      </w:r>
    </w:p>
    <w:p w:rsidR="00A42E32" w:rsidRPr="00292D46" w:rsidRDefault="00F02B94" w:rsidP="00A42E3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</w:t>
      </w:r>
      <w:r w:rsidR="00A42E32" w:rsidRPr="00292D46">
        <w:rPr>
          <w:rFonts w:cs="Times New Roman"/>
        </w:rPr>
        <w:t xml:space="preserve"> проектной деятельности учащихся рекомендовано выделить несколько направлений. </w:t>
      </w:r>
      <w:r>
        <w:rPr>
          <w:rFonts w:cs="Times New Roman"/>
        </w:rPr>
        <w:t xml:space="preserve">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1. Проектирование и изготовление швейных изделий,</w:t>
      </w:r>
      <w:r w:rsidR="00F02B94">
        <w:rPr>
          <w:rFonts w:cs="Times New Roman"/>
        </w:rPr>
        <w:t xml:space="preserve"> изделий из дерева и других материалов,</w:t>
      </w:r>
      <w:r w:rsidRPr="00292D46">
        <w:rPr>
          <w:rFonts w:cs="Times New Roman"/>
        </w:rPr>
        <w:t xml:space="preserve"> современные технологии, мода.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2. Декоративно-прикладное творчество (рукоделие, ремёсла, керамика и другие), аксессуары.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3. Предметы интерьера, современный дизайн (</w:t>
      </w:r>
      <w:proofErr w:type="spellStart"/>
      <w:r w:rsidRPr="00292D46">
        <w:rPr>
          <w:rFonts w:cs="Times New Roman"/>
        </w:rPr>
        <w:t>фитодизайн</w:t>
      </w:r>
      <w:proofErr w:type="spellEnd"/>
      <w:r w:rsidRPr="00292D46">
        <w:rPr>
          <w:rFonts w:cs="Times New Roman"/>
        </w:rPr>
        <w:t xml:space="preserve">, растениеводство, </w:t>
      </w:r>
      <w:proofErr w:type="spellStart"/>
      <w:r w:rsidRPr="00292D46">
        <w:rPr>
          <w:rFonts w:cs="Times New Roman"/>
        </w:rPr>
        <w:t>агротехнологии</w:t>
      </w:r>
      <w:proofErr w:type="spellEnd"/>
      <w:r w:rsidRPr="00292D46">
        <w:rPr>
          <w:rFonts w:cs="Times New Roman"/>
        </w:rPr>
        <w:t>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4. Социально - ориентированные проекты (экологические; агротехнические: ландшафтно-парковый дизайн, флористика, мозаика и другие с приложением </w:t>
      </w:r>
      <w:proofErr w:type="gramStart"/>
      <w:r w:rsidRPr="00292D46">
        <w:rPr>
          <w:rFonts w:cs="Times New Roman"/>
        </w:rPr>
        <w:t>арт</w:t>
      </w:r>
      <w:proofErr w:type="gramEnd"/>
      <w:r w:rsidRPr="00292D46">
        <w:rPr>
          <w:rFonts w:cs="Times New Roman"/>
        </w:rPr>
        <w:t xml:space="preserve"> - объектов).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5. Национальный костюм и театральный костюм.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6. Проектирование объектов с применением современных технологий (3-D технологии, применение оборудования с ЧПУ, лазерная обработка материалов и другие), проектирование новых материалов с заданными свойствами.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Т.к. проект - это сложная и трудоёмкая работа, требующая времени, то необходимо объективно оценить качество эскизов, вклад ребёнка в работу, новизну и оригинальность проекта. Проект может быть завершён на 75 %.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Для проведения творческого конкурса рекомендуется подготовить соответствующее помещение, оборудованное мультимедийной техникой, компьютером и экраном. В аудитории, где проводится творческий конкурс, должны быть подготовлены: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-  место для работы жюри (столы, протоколы оценки, ручки, карандаши, бумага для записей);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- место для выступления участника (стол, на котором можно </w:t>
      </w:r>
      <w:proofErr w:type="gramStart"/>
      <w:r w:rsidRPr="00292D46">
        <w:rPr>
          <w:rFonts w:cs="Times New Roman"/>
        </w:rPr>
        <w:t>разместить проект</w:t>
      </w:r>
      <w:proofErr w:type="gramEnd"/>
      <w:r w:rsidRPr="00292D46">
        <w:rPr>
          <w:rFonts w:cs="Times New Roman"/>
        </w:rPr>
        <w:t>, кафедра).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Организаторам необходимо продумать вопрос об организации выставки представляемых участниками проектов, которая может быть размещена, как  в помещении, где проводится защита проектов, так и в фойе или в  специально отведенном помещении.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По решению организаторов, защита проектов может проходить публично, когда все участники присутствуют, так и в закрытом режиме, когда на защите присутствуют только члены жюри и участник.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На защиту проекта отводится </w:t>
      </w:r>
      <w:r w:rsidRPr="00292D46">
        <w:rPr>
          <w:rFonts w:cs="Times New Roman"/>
          <w:b/>
          <w:i/>
        </w:rPr>
        <w:t>не более 10 мин</w:t>
      </w:r>
      <w:r w:rsidRPr="00292D46">
        <w:rPr>
          <w:rFonts w:cs="Times New Roman"/>
        </w:rPr>
        <w:t xml:space="preserve">. Участники представляют результат проектной деятельности и описание проекта.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Рекомендации по оценке проекта даны в таблице 1.</w:t>
      </w: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F02B94" w:rsidRDefault="00F02B94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A42E32" w:rsidRPr="00292D46" w:rsidRDefault="00A42E32" w:rsidP="0020080D">
      <w:pPr>
        <w:jc w:val="right"/>
        <w:rPr>
          <w:rFonts w:cs="Times New Roman"/>
          <w:i/>
        </w:rPr>
      </w:pPr>
      <w:bookmarkStart w:id="0" w:name="_GoBack"/>
      <w:bookmarkEnd w:id="0"/>
      <w:r w:rsidRPr="00292D46">
        <w:rPr>
          <w:rFonts w:cs="Times New Roman"/>
          <w:i/>
        </w:rPr>
        <w:t>Таблица 1</w:t>
      </w:r>
    </w:p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Лист</w:t>
      </w:r>
      <w:r w:rsidRPr="00292D46">
        <w:rPr>
          <w:rFonts w:cs="Times New Roman"/>
          <w:b/>
        </w:rPr>
        <w:t xml:space="preserve"> оцен</w:t>
      </w:r>
      <w:r>
        <w:rPr>
          <w:rFonts w:cs="Times New Roman"/>
          <w:b/>
        </w:rPr>
        <w:t>ивания</w:t>
      </w:r>
      <w:r w:rsidRPr="00292D46">
        <w:rPr>
          <w:rFonts w:cs="Times New Roman"/>
          <w:b/>
        </w:rPr>
        <w:t xml:space="preserve"> творческих проектов</w:t>
      </w:r>
    </w:p>
    <w:p w:rsidR="00A42E32" w:rsidRPr="00292D46" w:rsidRDefault="00A42E32" w:rsidP="00A42E32">
      <w:pPr>
        <w:ind w:firstLine="540"/>
        <w:jc w:val="center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5809"/>
        <w:gridCol w:w="1563"/>
        <w:gridCol w:w="1551"/>
      </w:tblGrid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ФИО участника, тема проекта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  <w:p w:rsidR="00A42E32" w:rsidRPr="00292D46" w:rsidRDefault="00A42E32" w:rsidP="00E7386E">
            <w:pPr>
              <w:jc w:val="center"/>
              <w:rPr>
                <w:rFonts w:cs="Times New Roman"/>
              </w:rPr>
            </w:pPr>
          </w:p>
          <w:p w:rsidR="00A42E32" w:rsidRPr="00292D46" w:rsidRDefault="00A42E32" w:rsidP="00E7386E">
            <w:pPr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№ </w:t>
            </w:r>
            <w:proofErr w:type="gramStart"/>
            <w:r w:rsidRPr="00292D46">
              <w:rPr>
                <w:rFonts w:cs="Times New Roman"/>
              </w:rPr>
              <w:t>п</w:t>
            </w:r>
            <w:proofErr w:type="gramEnd"/>
            <w:r w:rsidRPr="00292D46">
              <w:rPr>
                <w:rFonts w:cs="Times New Roman"/>
              </w:rPr>
              <w:t>/п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Оцениваемый параметр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Кол-во баллов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По факту</w:t>
            </w: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Пояснительная записка (до 14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Общее оформление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292D46">
              <w:rPr>
                <w:rFonts w:cs="Times New Roman"/>
              </w:rPr>
              <w:t>Качество исследования (актуальность; обоснование проблемы; формулировка темы, целей и задач проекта; сбор информации по проблеме; анализ прототипов; выбор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оптимальной идеи; описание </w:t>
            </w:r>
            <w:proofErr w:type="gramStart"/>
            <w:r w:rsidRPr="00292D46">
              <w:rPr>
                <w:rFonts w:cs="Times New Roman"/>
              </w:rPr>
              <w:t>проектируемого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материального объекта - логика обзора).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Оригинальность предложенных идей, новизна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Выбор технологии изготовления (оборудование и приспособления). Разработка технологического процесса (качество эскизов, схем, чертежей, тех</w:t>
            </w:r>
            <w:r>
              <w:rPr>
                <w:rFonts w:cs="Times New Roman"/>
              </w:rPr>
              <w:t xml:space="preserve">нологических </w:t>
            </w:r>
            <w:r w:rsidRPr="00292D46">
              <w:rPr>
                <w:rFonts w:cs="Times New Roman"/>
              </w:rPr>
              <w:t>карт, обоснованность рисунков).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Экономическая и экологическая оценка разрабатываемого и готового изделия.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Соответствие содержания выводов содержанию цели и задач, конкретность выводов, способность анализировать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Изделие, продукт  (до 20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Оригинальность дизайнерского решения (согласованность конструкции, цвета, композиции, формы; гармония)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Практическая значимость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Защита проекта (до 14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autoSpaceDE w:val="0"/>
              <w:snapToGrid w:val="0"/>
              <w:rPr>
                <w:rFonts w:cs="Times New Roman"/>
              </w:rPr>
            </w:pPr>
            <w:r w:rsidRPr="00292D46">
              <w:rPr>
                <w:rFonts w:cs="Times New Roman"/>
              </w:rPr>
              <w:t>Четкость и ясность изложения,  логика обзора проблемы исследования.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autoSpaceDE w:val="0"/>
              <w:snapToGrid w:val="0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Презентация (умение держаться при выступлении, время изложения), культура подачи материала, культура речи.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Самооценка, ответы на вопросы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 xml:space="preserve">Дополнительные критерии </w:t>
            </w:r>
          </w:p>
          <w:p w:rsidR="00A42E32" w:rsidRPr="00292D46" w:rsidRDefault="00A42E32" w:rsidP="00E7386E">
            <w:pPr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>(баллы и прибавляются и вычитаются)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Самостоятельность выполнения проекта (собственный вклад автора), использование знаний </w:t>
            </w:r>
            <w:r w:rsidRPr="00292D46">
              <w:rPr>
                <w:rFonts w:cs="Times New Roman"/>
              </w:rPr>
              <w:lastRenderedPageBreak/>
              <w:t xml:space="preserve">вне школьной программы, владение понятийным профессиональным аппаратом </w:t>
            </w:r>
            <w:proofErr w:type="gramStart"/>
            <w:r w:rsidRPr="00292D46">
              <w:rPr>
                <w:rFonts w:cs="Times New Roman"/>
              </w:rPr>
              <w:t>по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проблеме, способность проявлять самостоятельные оценочные суждения,</w:t>
            </w:r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качество электронной презентации; сложность изделия, оригинальность представления.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right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</w:tbl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</w:p>
    <w:p w:rsidR="00A42E32" w:rsidRDefault="00A42E32" w:rsidP="00A42E32">
      <w:pPr>
        <w:rPr>
          <w:rFonts w:cs="Times New Roman"/>
          <w:b/>
        </w:rPr>
      </w:pPr>
      <w:r w:rsidRPr="00292D46">
        <w:rPr>
          <w:rFonts w:cs="Times New Roman"/>
          <w:b/>
        </w:rPr>
        <w:t xml:space="preserve">Подведение итогов </w:t>
      </w:r>
    </w:p>
    <w:p w:rsidR="0020080D" w:rsidRDefault="0020080D" w:rsidP="00A42E32">
      <w:pPr>
        <w:rPr>
          <w:rFonts w:cs="Times New Roman"/>
          <w:b/>
        </w:rPr>
      </w:pPr>
    </w:p>
    <w:p w:rsidR="0020080D" w:rsidRPr="0020080D" w:rsidRDefault="0020080D" w:rsidP="0020080D">
      <w:pPr>
        <w:suppressAutoHyphens w:val="0"/>
        <w:spacing w:before="240" w:line="276" w:lineRule="auto"/>
        <w:jc w:val="right"/>
        <w:rPr>
          <w:rFonts w:cs="Times New Roman"/>
          <w:i/>
          <w:lang w:eastAsia="ru-RU"/>
        </w:rPr>
      </w:pPr>
      <w:r w:rsidRPr="0020080D">
        <w:rPr>
          <w:rFonts w:cs="Times New Roman"/>
          <w:i/>
          <w:lang w:eastAsia="ru-RU"/>
        </w:rPr>
        <w:t>Таблица 2. Шкала перевода баллов в пятибалльную шкалу</w:t>
      </w:r>
    </w:p>
    <w:tbl>
      <w:tblPr>
        <w:tblStyle w:val="a3"/>
        <w:tblW w:w="9980" w:type="dxa"/>
        <w:tblLook w:val="04A0"/>
      </w:tblPr>
      <w:tblGrid>
        <w:gridCol w:w="2495"/>
        <w:gridCol w:w="2495"/>
        <w:gridCol w:w="2495"/>
        <w:gridCol w:w="2495"/>
      </w:tblGrid>
      <w:tr w:rsidR="0020080D" w:rsidRPr="0020080D" w:rsidTr="0020080D">
        <w:trPr>
          <w:trHeight w:val="470"/>
        </w:trPr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«2»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«3»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«4»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«5»</w:t>
            </w:r>
          </w:p>
        </w:tc>
      </w:tr>
      <w:tr w:rsidR="0020080D" w:rsidRPr="0020080D" w:rsidTr="0020080D">
        <w:trPr>
          <w:trHeight w:val="490"/>
        </w:trPr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 w:rsidRPr="0020080D">
              <w:rPr>
                <w:rFonts w:eastAsia="Calibri" w:cs="Times New Roman"/>
                <w:i/>
                <w:lang w:eastAsia="en-US"/>
              </w:rPr>
              <w:t>Менее 0-</w:t>
            </w:r>
            <w:r>
              <w:rPr>
                <w:rFonts w:eastAsia="Calibri" w:cs="Times New Roman"/>
                <w:i/>
                <w:lang w:eastAsia="en-US"/>
              </w:rPr>
              <w:t>19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20-25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26-39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40-50</w:t>
            </w:r>
          </w:p>
        </w:tc>
      </w:tr>
    </w:tbl>
    <w:p w:rsidR="0020080D" w:rsidRPr="00292D46" w:rsidRDefault="0020080D" w:rsidP="00A42E32">
      <w:pPr>
        <w:rPr>
          <w:rFonts w:cs="Times New Roman"/>
          <w:b/>
        </w:rPr>
      </w:pPr>
    </w:p>
    <w:sectPr w:rsidR="0020080D" w:rsidRPr="00292D46" w:rsidSect="0097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1"/>
    <w:multiLevelType w:val="hybridMultilevel"/>
    <w:tmpl w:val="FCB4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F7"/>
    <w:rsid w:val="00145884"/>
    <w:rsid w:val="0020080D"/>
    <w:rsid w:val="0030548C"/>
    <w:rsid w:val="008F2EE3"/>
    <w:rsid w:val="00970662"/>
    <w:rsid w:val="00A42E32"/>
    <w:rsid w:val="00CD42F7"/>
    <w:rsid w:val="00F0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Иванова Татьяна</cp:lastModifiedBy>
  <cp:revision>3</cp:revision>
  <dcterms:created xsi:type="dcterms:W3CDTF">2020-01-31T13:08:00Z</dcterms:created>
  <dcterms:modified xsi:type="dcterms:W3CDTF">2020-02-21T08:49:00Z</dcterms:modified>
</cp:coreProperties>
</file>